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71D" w:rsidRPr="003E471D" w:rsidRDefault="003E471D" w:rsidP="003E471D">
      <w:pPr>
        <w:spacing w:before="150" w:after="150" w:line="240" w:lineRule="auto"/>
        <w:ind w:left="150" w:right="150"/>
        <w:rPr>
          <w:rFonts w:ascii="Verdana" w:eastAsia="Times New Roman" w:hAnsi="Verdana" w:cs="Tahoma"/>
          <w:color w:val="424242"/>
          <w:sz w:val="20"/>
          <w:szCs w:val="20"/>
          <w:lang w:eastAsia="ru-RU"/>
        </w:rPr>
      </w:pPr>
      <w:r w:rsidRPr="003E471D">
        <w:rPr>
          <w:rFonts w:ascii="Verdana" w:eastAsia="Times New Roman" w:hAnsi="Verdana" w:cs="Tahoma"/>
          <w:color w:val="424242"/>
          <w:sz w:val="20"/>
          <w:szCs w:val="20"/>
          <w:lang w:eastAsia="ru-RU"/>
        </w:rPr>
        <w:t>Самостоятельная работа студента по кредитной системе подразделяется на два вида: (СРСП) - аудиторная работа обучающегося под руководством преподавателя, указанная в расписании и включенная в педагогическую нагрузку преподавателя и СРС - самостоятельная работа студента, т.е. внеаудиторная работа студента в библиотеке, интернетклассе и пр. Самостоятельная работа выступает важным фактором повышения качества образования, влияющим на глубину и прочность приобретенных студентами знаний, умений, навыков и компетенций. Она способствует выработке у обучающихся потребности к самообразованию и саморазвитию.</w:t>
      </w:r>
    </w:p>
    <w:p w:rsidR="003E471D" w:rsidRPr="003E471D" w:rsidRDefault="003E471D" w:rsidP="003E471D">
      <w:pPr>
        <w:spacing w:before="150" w:after="150" w:line="240" w:lineRule="auto"/>
        <w:ind w:left="150" w:right="150"/>
        <w:rPr>
          <w:rFonts w:ascii="Verdana" w:eastAsia="Times New Roman" w:hAnsi="Verdana" w:cs="Tahoma"/>
          <w:color w:val="424242"/>
          <w:sz w:val="20"/>
          <w:szCs w:val="20"/>
          <w:lang w:eastAsia="ru-RU"/>
        </w:rPr>
      </w:pPr>
      <w:r w:rsidRPr="003E471D">
        <w:rPr>
          <w:rFonts w:ascii="Verdana" w:eastAsia="Times New Roman" w:hAnsi="Verdana" w:cs="Tahoma"/>
          <w:i/>
          <w:iCs/>
          <w:color w:val="424242"/>
          <w:sz w:val="20"/>
          <w:szCs w:val="20"/>
          <w:lang w:eastAsia="ru-RU"/>
        </w:rPr>
        <w:t>Самостоятельная работа студентов</w:t>
      </w:r>
      <w:r w:rsidRPr="003E471D">
        <w:rPr>
          <w:rFonts w:ascii="Verdana" w:eastAsia="Times New Roman" w:hAnsi="Verdana" w:cs="Tahoma"/>
          <w:color w:val="424242"/>
          <w:sz w:val="20"/>
          <w:szCs w:val="20"/>
          <w:lang w:eastAsia="ru-RU"/>
        </w:rPr>
        <w:t xml:space="preserve"> разработана в нескольких направлениях: изучение и конспектирование первоисточников, чтение научной литературы, учебной литературы, систематическое изучение и конспектирование журналов экологической направленности, работа с таблицами, картами, подготовка и выступление с докладами и рефератами.</w:t>
      </w:r>
    </w:p>
    <w:p w:rsidR="003E471D" w:rsidRPr="003E471D" w:rsidRDefault="003E471D" w:rsidP="003E471D">
      <w:pPr>
        <w:spacing w:before="150" w:after="150" w:line="240" w:lineRule="auto"/>
        <w:ind w:left="150" w:right="150"/>
        <w:rPr>
          <w:rFonts w:ascii="Verdana" w:eastAsia="Times New Roman" w:hAnsi="Verdana" w:cs="Tahoma"/>
          <w:color w:val="424242"/>
          <w:sz w:val="20"/>
          <w:szCs w:val="20"/>
          <w:lang w:eastAsia="ru-RU"/>
        </w:rPr>
      </w:pPr>
      <w:r w:rsidRPr="003E471D">
        <w:rPr>
          <w:rFonts w:ascii="Verdana" w:eastAsia="Times New Roman" w:hAnsi="Verdana" w:cs="Tahoma"/>
          <w:i/>
          <w:iCs/>
          <w:color w:val="424242"/>
          <w:sz w:val="20"/>
          <w:szCs w:val="20"/>
          <w:lang w:eastAsia="ru-RU"/>
        </w:rPr>
        <w:t xml:space="preserve">Самостоятельная работа с преподавателем </w:t>
      </w:r>
      <w:r w:rsidRPr="003E471D">
        <w:rPr>
          <w:rFonts w:ascii="Verdana" w:eastAsia="Times New Roman" w:hAnsi="Verdana" w:cs="Tahoma"/>
          <w:color w:val="424242"/>
          <w:sz w:val="20"/>
          <w:szCs w:val="20"/>
          <w:lang w:eastAsia="ru-RU"/>
        </w:rPr>
        <w:t xml:space="preserve">подразумевает разработку и оформление реферата. </w:t>
      </w:r>
      <w:r w:rsidRPr="003E471D">
        <w:rPr>
          <w:rFonts w:ascii="Verdana" w:eastAsia="Times New Roman" w:hAnsi="Verdana" w:cs="Tahoma"/>
          <w:b/>
          <w:bCs/>
          <w:color w:val="424242"/>
          <w:sz w:val="20"/>
          <w:szCs w:val="20"/>
          <w:lang w:eastAsia="ru-RU"/>
        </w:rPr>
        <w:t>Реферат</w:t>
      </w:r>
      <w:r w:rsidRPr="003E471D">
        <w:rPr>
          <w:rFonts w:ascii="Verdana" w:eastAsia="Times New Roman" w:hAnsi="Verdana" w:cs="Tahoma"/>
          <w:color w:val="424242"/>
          <w:sz w:val="20"/>
          <w:szCs w:val="20"/>
          <w:lang w:eastAsia="ru-RU"/>
        </w:rPr>
        <w:t xml:space="preserve"> представляет собой краткое изложение в письменном виде или в форме публичного доклада содержания научного труда или трудов специалистов по избранной теме, обзор литературы определенного направления. Такой обзор должен давать читателю представление о современном состоянии изученности той или иной научной проблемы, включая сопоставление точек зрения специалистов, и сопровождаться собственной оценкой их достоверности и убедительности.</w:t>
      </w:r>
    </w:p>
    <w:p w:rsidR="003E471D" w:rsidRPr="003E471D" w:rsidRDefault="003E471D" w:rsidP="003E471D">
      <w:pPr>
        <w:spacing w:before="150" w:after="150" w:line="240" w:lineRule="auto"/>
        <w:ind w:left="150" w:right="150"/>
        <w:rPr>
          <w:rFonts w:ascii="Verdana" w:eastAsia="Times New Roman" w:hAnsi="Verdana" w:cs="Tahoma"/>
          <w:color w:val="424242"/>
          <w:sz w:val="20"/>
          <w:szCs w:val="20"/>
          <w:lang w:eastAsia="ru-RU"/>
        </w:rPr>
      </w:pPr>
      <w:r w:rsidRPr="003E471D">
        <w:rPr>
          <w:rFonts w:ascii="Verdana" w:eastAsia="Times New Roman" w:hAnsi="Verdana" w:cs="Tahoma"/>
          <w:color w:val="424242"/>
          <w:sz w:val="20"/>
          <w:szCs w:val="20"/>
          <w:lang w:eastAsia="ru-RU"/>
        </w:rPr>
        <w:t>Задача реферата - обобщить достигнутое другими, самостоятельно изложить проблему на базе фактов почерпнутых из литературы.</w:t>
      </w:r>
    </w:p>
    <w:p w:rsidR="003E471D" w:rsidRPr="003E471D" w:rsidRDefault="003E471D" w:rsidP="003E471D">
      <w:pPr>
        <w:spacing w:before="150" w:after="150" w:line="240" w:lineRule="auto"/>
        <w:ind w:left="150" w:right="150"/>
        <w:rPr>
          <w:rFonts w:ascii="Verdana" w:eastAsia="Times New Roman" w:hAnsi="Verdana" w:cs="Tahoma"/>
          <w:color w:val="424242"/>
          <w:sz w:val="20"/>
          <w:szCs w:val="20"/>
          <w:lang w:eastAsia="ru-RU"/>
        </w:rPr>
      </w:pPr>
      <w:r w:rsidRPr="003E471D">
        <w:rPr>
          <w:rFonts w:ascii="Verdana" w:eastAsia="Times New Roman" w:hAnsi="Verdana" w:cs="Tahoma"/>
          <w:color w:val="424242"/>
          <w:sz w:val="20"/>
          <w:szCs w:val="20"/>
          <w:lang w:eastAsia="ru-RU"/>
        </w:rPr>
        <w:t>Пояснительная записка к реферату выполняется в объеме 15-20 листов бумаги формата А4. Ваши задания должны быть выполнены понятно, аккуратно и листы должны быть скреплены. Вы можете выполнять задание вместе с другими студентами, но я хотела бы, чтобы текст был написан с использованием ваших слов.</w:t>
      </w:r>
    </w:p>
    <w:p w:rsidR="003E471D" w:rsidRPr="003E471D" w:rsidRDefault="003E471D" w:rsidP="003E471D">
      <w:pPr>
        <w:spacing w:before="150" w:after="150" w:line="240" w:lineRule="auto"/>
        <w:ind w:left="150" w:right="150"/>
        <w:rPr>
          <w:rFonts w:ascii="Verdana" w:eastAsia="Times New Roman" w:hAnsi="Verdana" w:cs="Tahoma"/>
          <w:color w:val="424242"/>
          <w:sz w:val="20"/>
          <w:szCs w:val="20"/>
          <w:lang w:eastAsia="ru-RU"/>
        </w:rPr>
      </w:pPr>
      <w:r w:rsidRPr="003E471D">
        <w:rPr>
          <w:rFonts w:ascii="Verdana" w:eastAsia="Times New Roman" w:hAnsi="Verdana" w:cs="Tahoma"/>
          <w:color w:val="424242"/>
          <w:sz w:val="20"/>
          <w:szCs w:val="20"/>
          <w:lang w:eastAsia="ru-RU"/>
        </w:rPr>
        <w:t>Оценка за реферат выставляется по итогам защиты. Срок сдачи реферата преподавателю –до рубежного контроля № 2. Максимально возможная оценка реферата – 100 баллов.</w:t>
      </w:r>
    </w:p>
    <w:p w:rsidR="003E471D" w:rsidRPr="003E471D" w:rsidRDefault="003E471D" w:rsidP="003E471D">
      <w:pPr>
        <w:spacing w:before="150" w:after="150" w:line="240" w:lineRule="auto"/>
        <w:ind w:left="150" w:right="150"/>
        <w:rPr>
          <w:rFonts w:ascii="Verdana" w:eastAsia="Times New Roman" w:hAnsi="Verdana" w:cs="Tahoma"/>
          <w:color w:val="424242"/>
          <w:sz w:val="20"/>
          <w:szCs w:val="20"/>
          <w:lang w:eastAsia="ru-RU"/>
        </w:rPr>
      </w:pPr>
      <w:r w:rsidRPr="003E471D">
        <w:rPr>
          <w:rFonts w:ascii="Verdana" w:eastAsia="Times New Roman" w:hAnsi="Verdana" w:cs="Tahoma"/>
          <w:color w:val="424242"/>
          <w:sz w:val="20"/>
          <w:szCs w:val="20"/>
          <w:lang w:eastAsia="ru-RU"/>
        </w:rPr>
        <w:t>Перечень тем для самостоятельного изучения:</w:t>
      </w:r>
    </w:p>
    <w:p w:rsidR="003E471D" w:rsidRPr="003E471D" w:rsidRDefault="003E471D" w:rsidP="003E471D">
      <w:pPr>
        <w:spacing w:before="150" w:after="150" w:line="240" w:lineRule="auto"/>
        <w:ind w:left="150" w:right="150"/>
        <w:rPr>
          <w:rFonts w:ascii="Verdana" w:eastAsia="Times New Roman" w:hAnsi="Verdana" w:cs="Tahoma"/>
          <w:color w:val="424242"/>
          <w:sz w:val="20"/>
          <w:szCs w:val="20"/>
          <w:lang w:eastAsia="ru-RU"/>
        </w:rPr>
      </w:pPr>
      <w:r w:rsidRPr="003E471D">
        <w:rPr>
          <w:rFonts w:ascii="Verdana" w:eastAsia="Times New Roman" w:hAnsi="Verdana" w:cs="Tahoma"/>
          <w:color w:val="424242"/>
          <w:sz w:val="20"/>
          <w:szCs w:val="20"/>
          <w:lang w:eastAsia="ru-RU"/>
        </w:rPr>
        <w:t>1. Бытовые заболевания при действии токсинов</w:t>
      </w:r>
    </w:p>
    <w:p w:rsidR="003E471D" w:rsidRPr="003E471D" w:rsidRDefault="003E471D" w:rsidP="003E471D">
      <w:pPr>
        <w:spacing w:before="150" w:after="150" w:line="240" w:lineRule="auto"/>
        <w:ind w:left="150" w:right="150"/>
        <w:rPr>
          <w:rFonts w:ascii="Verdana" w:eastAsia="Times New Roman" w:hAnsi="Verdana" w:cs="Tahoma"/>
          <w:color w:val="424242"/>
          <w:sz w:val="20"/>
          <w:szCs w:val="20"/>
          <w:lang w:eastAsia="ru-RU"/>
        </w:rPr>
      </w:pPr>
      <w:r w:rsidRPr="003E471D">
        <w:rPr>
          <w:rFonts w:ascii="Verdana" w:eastAsia="Times New Roman" w:hAnsi="Verdana" w:cs="Tahoma"/>
          <w:color w:val="424242"/>
          <w:sz w:val="20"/>
          <w:szCs w:val="20"/>
          <w:lang w:eastAsia="ru-RU"/>
        </w:rPr>
        <w:t>2. Системы и приборы радиационного контроля. Измеряемые параметры, контрольные уровни</w:t>
      </w:r>
    </w:p>
    <w:p w:rsidR="003E471D" w:rsidRPr="003E471D" w:rsidRDefault="003E471D" w:rsidP="003E471D">
      <w:pPr>
        <w:spacing w:before="150" w:after="150" w:line="240" w:lineRule="auto"/>
        <w:ind w:left="150" w:right="150"/>
        <w:rPr>
          <w:rFonts w:ascii="Verdana" w:eastAsia="Times New Roman" w:hAnsi="Verdana" w:cs="Tahoma"/>
          <w:color w:val="424242"/>
          <w:sz w:val="20"/>
          <w:szCs w:val="20"/>
          <w:lang w:eastAsia="ru-RU"/>
        </w:rPr>
      </w:pPr>
      <w:r w:rsidRPr="003E471D">
        <w:rPr>
          <w:rFonts w:ascii="Verdana" w:eastAsia="Times New Roman" w:hAnsi="Verdana" w:cs="Tahoma"/>
          <w:color w:val="424242"/>
          <w:sz w:val="20"/>
          <w:szCs w:val="20"/>
          <w:lang w:eastAsia="ru-RU"/>
        </w:rPr>
        <w:t>3. Основные способы хранения и транспортировки химически опасных веществ</w:t>
      </w:r>
    </w:p>
    <w:p w:rsidR="003E471D" w:rsidRPr="003E471D" w:rsidRDefault="003E471D" w:rsidP="003E471D">
      <w:pPr>
        <w:spacing w:before="150" w:after="150" w:line="240" w:lineRule="auto"/>
        <w:ind w:left="150" w:right="150"/>
        <w:rPr>
          <w:rFonts w:ascii="Verdana" w:eastAsia="Times New Roman" w:hAnsi="Verdana" w:cs="Tahoma"/>
          <w:color w:val="424242"/>
          <w:sz w:val="20"/>
          <w:szCs w:val="20"/>
          <w:lang w:eastAsia="ru-RU"/>
        </w:rPr>
      </w:pPr>
      <w:r w:rsidRPr="003E471D">
        <w:rPr>
          <w:rFonts w:ascii="Verdana" w:eastAsia="Times New Roman" w:hAnsi="Verdana" w:cs="Tahoma"/>
          <w:color w:val="424242"/>
          <w:sz w:val="20"/>
          <w:szCs w:val="20"/>
          <w:lang w:eastAsia="ru-RU"/>
        </w:rPr>
        <w:t>4. Приборы химической разведки</w:t>
      </w:r>
    </w:p>
    <w:p w:rsidR="003E471D" w:rsidRPr="003E471D" w:rsidRDefault="003E471D" w:rsidP="003E471D">
      <w:pPr>
        <w:spacing w:before="150" w:after="150" w:line="240" w:lineRule="auto"/>
        <w:ind w:left="150" w:right="150"/>
        <w:rPr>
          <w:rFonts w:ascii="Verdana" w:eastAsia="Times New Roman" w:hAnsi="Verdana" w:cs="Tahoma"/>
          <w:color w:val="424242"/>
          <w:sz w:val="20"/>
          <w:szCs w:val="20"/>
          <w:lang w:eastAsia="ru-RU"/>
        </w:rPr>
      </w:pPr>
      <w:r w:rsidRPr="003E471D">
        <w:rPr>
          <w:rFonts w:ascii="Verdana" w:eastAsia="Times New Roman" w:hAnsi="Verdana" w:cs="Tahoma"/>
          <w:color w:val="424242"/>
          <w:sz w:val="20"/>
          <w:szCs w:val="20"/>
          <w:lang w:eastAsia="ru-RU"/>
        </w:rPr>
        <w:t>5. Методы расчета распространения токсиканта при аварийном выбросе химически опасных веществ</w:t>
      </w:r>
    </w:p>
    <w:p w:rsidR="003E471D" w:rsidRPr="003E471D" w:rsidRDefault="003E471D" w:rsidP="003E471D">
      <w:pPr>
        <w:spacing w:before="150" w:after="150" w:line="240" w:lineRule="auto"/>
        <w:ind w:left="150" w:right="150"/>
        <w:rPr>
          <w:rFonts w:ascii="Verdana" w:eastAsia="Times New Roman" w:hAnsi="Verdana" w:cs="Tahoma"/>
          <w:color w:val="424242"/>
          <w:sz w:val="20"/>
          <w:szCs w:val="20"/>
          <w:lang w:eastAsia="ru-RU"/>
        </w:rPr>
      </w:pPr>
      <w:r w:rsidRPr="003E471D">
        <w:rPr>
          <w:rFonts w:ascii="Verdana" w:eastAsia="Times New Roman" w:hAnsi="Verdana" w:cs="Tahoma"/>
          <w:color w:val="424242"/>
          <w:sz w:val="20"/>
          <w:szCs w:val="20"/>
          <w:lang w:eastAsia="ru-RU"/>
        </w:rPr>
        <w:t>6. Закономерности и показатели развития техносферы</w:t>
      </w:r>
    </w:p>
    <w:p w:rsidR="003E471D" w:rsidRPr="003E471D" w:rsidRDefault="003E471D" w:rsidP="003E471D">
      <w:pPr>
        <w:spacing w:before="150" w:after="150" w:line="240" w:lineRule="auto"/>
        <w:ind w:left="150" w:right="150"/>
        <w:rPr>
          <w:rFonts w:ascii="Verdana" w:eastAsia="Times New Roman" w:hAnsi="Verdana" w:cs="Tahoma"/>
          <w:color w:val="424242"/>
          <w:sz w:val="20"/>
          <w:szCs w:val="20"/>
          <w:lang w:eastAsia="ru-RU"/>
        </w:rPr>
      </w:pPr>
      <w:r w:rsidRPr="003E471D">
        <w:rPr>
          <w:rFonts w:ascii="Verdana" w:eastAsia="Times New Roman" w:hAnsi="Verdana" w:cs="Tahoma"/>
          <w:color w:val="424242"/>
          <w:sz w:val="20"/>
          <w:szCs w:val="20"/>
          <w:lang w:eastAsia="ru-RU"/>
        </w:rPr>
        <w:t>7. Зоны техносферы с высокой совокупностью негативных факторов: окружающая среда регионов и крупных городов, производственная среда, зоны чрезвычайных ситуаций</w:t>
      </w:r>
    </w:p>
    <w:p w:rsidR="003E471D" w:rsidRPr="003E471D" w:rsidRDefault="003E471D" w:rsidP="003E471D">
      <w:pPr>
        <w:spacing w:before="150" w:after="150" w:line="240" w:lineRule="auto"/>
        <w:ind w:left="150" w:right="150"/>
        <w:rPr>
          <w:rFonts w:ascii="Verdana" w:eastAsia="Times New Roman" w:hAnsi="Verdana" w:cs="Tahoma"/>
          <w:color w:val="424242"/>
          <w:sz w:val="20"/>
          <w:szCs w:val="20"/>
          <w:lang w:eastAsia="ru-RU"/>
        </w:rPr>
      </w:pPr>
      <w:r w:rsidRPr="003E471D">
        <w:rPr>
          <w:rFonts w:ascii="Verdana" w:eastAsia="Times New Roman" w:hAnsi="Verdana" w:cs="Tahoma"/>
          <w:color w:val="424242"/>
          <w:sz w:val="20"/>
          <w:szCs w:val="20"/>
          <w:lang w:eastAsia="ru-RU"/>
        </w:rPr>
        <w:t>8. Системы безопасности техносферы</w:t>
      </w:r>
    </w:p>
    <w:p w:rsidR="003E471D" w:rsidRPr="003E471D" w:rsidRDefault="003E471D" w:rsidP="003E471D">
      <w:pPr>
        <w:spacing w:before="150" w:after="150" w:line="240" w:lineRule="auto"/>
        <w:ind w:left="150" w:right="150"/>
        <w:rPr>
          <w:rFonts w:ascii="Verdana" w:eastAsia="Times New Roman" w:hAnsi="Verdana" w:cs="Tahoma"/>
          <w:color w:val="424242"/>
          <w:sz w:val="20"/>
          <w:szCs w:val="20"/>
          <w:lang w:eastAsia="ru-RU"/>
        </w:rPr>
      </w:pPr>
      <w:r w:rsidRPr="003E471D">
        <w:rPr>
          <w:rFonts w:ascii="Verdana" w:eastAsia="Times New Roman" w:hAnsi="Verdana" w:cs="Tahoma"/>
          <w:color w:val="424242"/>
          <w:sz w:val="20"/>
          <w:szCs w:val="20"/>
          <w:lang w:eastAsia="ru-RU"/>
        </w:rPr>
        <w:t>9. Применение экобиозащитной техники и защитных систем от вредных и опасных факторов природного и техногенного происхождения</w:t>
      </w:r>
    </w:p>
    <w:p w:rsidR="003E471D" w:rsidRPr="003E471D" w:rsidRDefault="003E471D" w:rsidP="003E471D">
      <w:pPr>
        <w:spacing w:before="150" w:after="150" w:line="240" w:lineRule="auto"/>
        <w:ind w:left="150" w:right="150"/>
        <w:rPr>
          <w:rFonts w:ascii="Verdana" w:eastAsia="Times New Roman" w:hAnsi="Verdana" w:cs="Tahoma"/>
          <w:color w:val="424242"/>
          <w:sz w:val="20"/>
          <w:szCs w:val="20"/>
          <w:lang w:eastAsia="ru-RU"/>
        </w:rPr>
      </w:pPr>
      <w:r w:rsidRPr="003E471D">
        <w:rPr>
          <w:rFonts w:ascii="Verdana" w:eastAsia="Times New Roman" w:hAnsi="Verdana" w:cs="Tahoma"/>
          <w:color w:val="424242"/>
          <w:sz w:val="20"/>
          <w:szCs w:val="20"/>
          <w:lang w:eastAsia="ru-RU"/>
        </w:rPr>
        <w:t>10. Способы повышения защищенности персонала при ЧС</w:t>
      </w:r>
    </w:p>
    <w:p w:rsidR="003E471D" w:rsidRPr="003E471D" w:rsidRDefault="003E471D" w:rsidP="003E471D">
      <w:pPr>
        <w:spacing w:before="150" w:after="150" w:line="240" w:lineRule="auto"/>
        <w:ind w:left="150" w:right="150"/>
        <w:rPr>
          <w:rFonts w:ascii="Verdana" w:eastAsia="Times New Roman" w:hAnsi="Verdana" w:cs="Tahoma"/>
          <w:color w:val="424242"/>
          <w:sz w:val="20"/>
          <w:szCs w:val="20"/>
          <w:lang w:eastAsia="ru-RU"/>
        </w:rPr>
      </w:pPr>
      <w:r w:rsidRPr="003E471D">
        <w:rPr>
          <w:rFonts w:ascii="Verdana" w:eastAsia="Times New Roman" w:hAnsi="Verdana" w:cs="Tahoma"/>
          <w:color w:val="424242"/>
          <w:sz w:val="20"/>
          <w:szCs w:val="20"/>
          <w:lang w:eastAsia="ru-RU"/>
        </w:rPr>
        <w:t>11. Чрезвычайные ситуации социального характера</w:t>
      </w:r>
    </w:p>
    <w:p w:rsidR="003E471D" w:rsidRPr="003E471D" w:rsidRDefault="003E471D" w:rsidP="003E471D">
      <w:pPr>
        <w:spacing w:before="150" w:after="150" w:line="240" w:lineRule="auto"/>
        <w:ind w:left="150" w:right="150"/>
        <w:rPr>
          <w:rFonts w:ascii="Verdana" w:eastAsia="Times New Roman" w:hAnsi="Verdana" w:cs="Tahoma"/>
          <w:color w:val="424242"/>
          <w:sz w:val="20"/>
          <w:szCs w:val="20"/>
          <w:lang w:eastAsia="ru-RU"/>
        </w:rPr>
      </w:pPr>
      <w:r w:rsidRPr="003E471D">
        <w:rPr>
          <w:rFonts w:ascii="Verdana" w:eastAsia="Times New Roman" w:hAnsi="Verdana" w:cs="Tahoma"/>
          <w:color w:val="424242"/>
          <w:sz w:val="20"/>
          <w:szCs w:val="20"/>
          <w:lang w:eastAsia="ru-RU"/>
        </w:rPr>
        <w:t>12. Психологические аспекты чрезвычайных ситуаций</w:t>
      </w:r>
    </w:p>
    <w:p w:rsidR="003E471D" w:rsidRPr="003E471D" w:rsidRDefault="003E471D" w:rsidP="003E471D">
      <w:pPr>
        <w:spacing w:before="150" w:after="150" w:line="240" w:lineRule="auto"/>
        <w:ind w:left="150" w:right="150"/>
        <w:rPr>
          <w:rFonts w:ascii="Verdana" w:eastAsia="Times New Roman" w:hAnsi="Verdana" w:cs="Tahoma"/>
          <w:color w:val="424242"/>
          <w:sz w:val="20"/>
          <w:szCs w:val="20"/>
          <w:lang w:eastAsia="ru-RU"/>
        </w:rPr>
      </w:pPr>
      <w:r w:rsidRPr="003E471D">
        <w:rPr>
          <w:rFonts w:ascii="Verdana" w:eastAsia="Times New Roman" w:hAnsi="Verdana" w:cs="Tahoma"/>
          <w:color w:val="424242"/>
          <w:sz w:val="20"/>
          <w:szCs w:val="20"/>
          <w:lang w:eastAsia="ru-RU"/>
        </w:rPr>
        <w:lastRenderedPageBreak/>
        <w:t>13. Поражающие факторы, зоны разрушения радиационного заражения</w:t>
      </w:r>
    </w:p>
    <w:p w:rsidR="003E471D" w:rsidRPr="003E471D" w:rsidRDefault="003E471D" w:rsidP="003E471D">
      <w:pPr>
        <w:spacing w:before="150" w:after="150" w:line="240" w:lineRule="auto"/>
        <w:ind w:left="150" w:right="150"/>
        <w:rPr>
          <w:rFonts w:ascii="Verdana" w:eastAsia="Times New Roman" w:hAnsi="Verdana" w:cs="Tahoma"/>
          <w:color w:val="424242"/>
          <w:sz w:val="20"/>
          <w:szCs w:val="20"/>
          <w:lang w:eastAsia="ru-RU"/>
        </w:rPr>
      </w:pPr>
      <w:r w:rsidRPr="003E471D">
        <w:rPr>
          <w:rFonts w:ascii="Verdana" w:eastAsia="Times New Roman" w:hAnsi="Verdana" w:cs="Tahoma"/>
          <w:color w:val="424242"/>
          <w:sz w:val="20"/>
          <w:szCs w:val="20"/>
          <w:lang w:eastAsia="ru-RU"/>
        </w:rPr>
        <w:t>14. Способы защиты населения от оружия массового поражения</w:t>
      </w:r>
    </w:p>
    <w:p w:rsidR="003E471D" w:rsidRPr="003E471D" w:rsidRDefault="003E471D" w:rsidP="003E471D">
      <w:pPr>
        <w:spacing w:before="150" w:after="150" w:line="240" w:lineRule="auto"/>
        <w:ind w:left="150" w:right="150"/>
        <w:rPr>
          <w:rFonts w:ascii="Verdana" w:eastAsia="Times New Roman" w:hAnsi="Verdana" w:cs="Tahoma"/>
          <w:color w:val="424242"/>
          <w:sz w:val="20"/>
          <w:szCs w:val="20"/>
          <w:lang w:eastAsia="ru-RU"/>
        </w:rPr>
      </w:pPr>
      <w:r w:rsidRPr="003E471D">
        <w:rPr>
          <w:rFonts w:ascii="Verdana" w:eastAsia="Times New Roman" w:hAnsi="Verdana" w:cs="Tahoma"/>
          <w:color w:val="424242"/>
          <w:sz w:val="20"/>
          <w:szCs w:val="20"/>
          <w:lang w:eastAsia="ru-RU"/>
        </w:rPr>
        <w:t>15. Защитные сооружения, убежища, укрытия</w:t>
      </w:r>
    </w:p>
    <w:p w:rsidR="003E471D" w:rsidRPr="003E471D" w:rsidRDefault="003E471D" w:rsidP="003E471D">
      <w:pPr>
        <w:spacing w:before="150" w:after="150" w:line="240" w:lineRule="auto"/>
        <w:ind w:left="150" w:right="150"/>
        <w:rPr>
          <w:rFonts w:ascii="Verdana" w:eastAsia="Times New Roman" w:hAnsi="Verdana" w:cs="Tahoma"/>
          <w:color w:val="424242"/>
          <w:sz w:val="20"/>
          <w:szCs w:val="20"/>
          <w:lang w:eastAsia="ru-RU"/>
        </w:rPr>
      </w:pPr>
      <w:r w:rsidRPr="003E471D">
        <w:rPr>
          <w:rFonts w:ascii="Verdana" w:eastAsia="Times New Roman" w:hAnsi="Verdana" w:cs="Tahoma"/>
          <w:color w:val="424242"/>
          <w:sz w:val="20"/>
          <w:szCs w:val="20"/>
          <w:lang w:eastAsia="ru-RU"/>
        </w:rPr>
        <w:t>16. Лесные и степные пожары, горение торфяников</w:t>
      </w:r>
    </w:p>
    <w:p w:rsidR="003E471D" w:rsidRPr="003E471D" w:rsidRDefault="003E471D" w:rsidP="003E471D">
      <w:pPr>
        <w:spacing w:before="150" w:after="150" w:line="240" w:lineRule="auto"/>
        <w:ind w:left="150" w:right="150"/>
        <w:rPr>
          <w:rFonts w:ascii="Verdana" w:eastAsia="Times New Roman" w:hAnsi="Verdana" w:cs="Tahoma"/>
          <w:color w:val="424242"/>
          <w:sz w:val="20"/>
          <w:szCs w:val="20"/>
          <w:lang w:eastAsia="ru-RU"/>
        </w:rPr>
      </w:pPr>
      <w:r w:rsidRPr="003E471D">
        <w:rPr>
          <w:rFonts w:ascii="Verdana" w:eastAsia="Times New Roman" w:hAnsi="Verdana" w:cs="Tahoma"/>
          <w:color w:val="424242"/>
          <w:sz w:val="20"/>
          <w:szCs w:val="20"/>
          <w:lang w:eastAsia="ru-RU"/>
        </w:rPr>
        <w:t>17. Метеорологические опасные явления и способы защиты</w:t>
      </w:r>
    </w:p>
    <w:p w:rsidR="003E471D" w:rsidRPr="003E471D" w:rsidRDefault="003E471D" w:rsidP="003E471D">
      <w:pPr>
        <w:spacing w:before="150" w:after="150" w:line="240" w:lineRule="auto"/>
        <w:ind w:left="150" w:right="150"/>
        <w:rPr>
          <w:rFonts w:ascii="Verdana" w:eastAsia="Times New Roman" w:hAnsi="Verdana" w:cs="Tahoma"/>
          <w:color w:val="424242"/>
          <w:sz w:val="20"/>
          <w:szCs w:val="20"/>
          <w:lang w:eastAsia="ru-RU"/>
        </w:rPr>
      </w:pPr>
      <w:r w:rsidRPr="003E471D">
        <w:rPr>
          <w:rFonts w:ascii="Verdana" w:eastAsia="Times New Roman" w:hAnsi="Verdana" w:cs="Tahoma"/>
          <w:color w:val="424242"/>
          <w:sz w:val="20"/>
          <w:szCs w:val="20"/>
          <w:lang w:eastAsia="ru-RU"/>
        </w:rPr>
        <w:t>18. Методы и средства защиты от ударной волны</w:t>
      </w:r>
    </w:p>
    <w:p w:rsidR="003E471D" w:rsidRPr="003E471D" w:rsidRDefault="003E471D" w:rsidP="003E471D">
      <w:pPr>
        <w:spacing w:before="150" w:after="150" w:line="240" w:lineRule="auto"/>
        <w:ind w:left="150" w:right="150"/>
        <w:rPr>
          <w:rFonts w:ascii="Verdana" w:eastAsia="Times New Roman" w:hAnsi="Verdana" w:cs="Tahoma"/>
          <w:color w:val="424242"/>
          <w:sz w:val="20"/>
          <w:szCs w:val="20"/>
          <w:lang w:eastAsia="ru-RU"/>
        </w:rPr>
      </w:pPr>
      <w:r w:rsidRPr="003E471D">
        <w:rPr>
          <w:rFonts w:ascii="Verdana" w:eastAsia="Times New Roman" w:hAnsi="Verdana" w:cs="Tahoma"/>
          <w:color w:val="424242"/>
          <w:sz w:val="20"/>
          <w:szCs w:val="20"/>
          <w:lang w:eastAsia="ru-RU"/>
        </w:rPr>
        <w:t>19. Разведка и оценка обстановки, сложившейся на производственном объекте в результате чрезвычайной ситуации</w:t>
      </w:r>
    </w:p>
    <w:p w:rsidR="003E471D" w:rsidRPr="003E471D" w:rsidRDefault="003E471D" w:rsidP="003E471D">
      <w:pPr>
        <w:spacing w:before="150" w:after="150" w:line="240" w:lineRule="auto"/>
        <w:ind w:left="150" w:right="150"/>
        <w:rPr>
          <w:rFonts w:ascii="Verdana" w:eastAsia="Times New Roman" w:hAnsi="Verdana" w:cs="Tahoma"/>
          <w:color w:val="424242"/>
          <w:sz w:val="20"/>
          <w:szCs w:val="20"/>
          <w:lang w:eastAsia="ru-RU"/>
        </w:rPr>
      </w:pPr>
      <w:r w:rsidRPr="003E471D">
        <w:rPr>
          <w:rFonts w:ascii="Verdana" w:eastAsia="Times New Roman" w:hAnsi="Verdana" w:cs="Tahoma"/>
          <w:color w:val="424242"/>
          <w:sz w:val="20"/>
          <w:szCs w:val="20"/>
          <w:lang w:eastAsia="ru-RU"/>
        </w:rPr>
        <w:t>20. Прогноз масштаба заражения территорий СДЯВ</w:t>
      </w:r>
    </w:p>
    <w:p w:rsidR="003E471D" w:rsidRPr="003E471D" w:rsidRDefault="003E471D" w:rsidP="003E471D">
      <w:pPr>
        <w:spacing w:before="150" w:after="150" w:line="240" w:lineRule="auto"/>
        <w:ind w:left="150" w:right="150"/>
        <w:rPr>
          <w:rFonts w:ascii="Verdana" w:eastAsia="Times New Roman" w:hAnsi="Verdana" w:cs="Tahoma"/>
          <w:color w:val="424242"/>
          <w:sz w:val="20"/>
          <w:szCs w:val="20"/>
          <w:lang w:eastAsia="ru-RU"/>
        </w:rPr>
      </w:pPr>
      <w:r w:rsidRPr="003E471D">
        <w:rPr>
          <w:rFonts w:ascii="Verdana" w:eastAsia="Times New Roman" w:hAnsi="Verdana" w:cs="Tahoma"/>
          <w:color w:val="424242"/>
          <w:sz w:val="20"/>
          <w:szCs w:val="20"/>
          <w:lang w:eastAsia="ru-RU"/>
        </w:rPr>
        <w:t>21. Виды природных и техногенных аварий, катастроф</w:t>
      </w:r>
    </w:p>
    <w:p w:rsidR="003E471D" w:rsidRPr="003E471D" w:rsidRDefault="003E471D" w:rsidP="003E471D">
      <w:pPr>
        <w:spacing w:before="150" w:after="150" w:line="240" w:lineRule="auto"/>
        <w:ind w:left="150" w:right="150"/>
        <w:rPr>
          <w:rFonts w:ascii="Verdana" w:eastAsia="Times New Roman" w:hAnsi="Verdana" w:cs="Tahoma"/>
          <w:color w:val="424242"/>
          <w:sz w:val="20"/>
          <w:szCs w:val="20"/>
          <w:lang w:eastAsia="ru-RU"/>
        </w:rPr>
      </w:pPr>
      <w:r w:rsidRPr="003E471D">
        <w:rPr>
          <w:rFonts w:ascii="Verdana" w:eastAsia="Times New Roman" w:hAnsi="Verdana" w:cs="Tahoma"/>
          <w:color w:val="424242"/>
          <w:sz w:val="20"/>
          <w:szCs w:val="20"/>
          <w:lang w:eastAsia="ru-RU"/>
        </w:rPr>
        <w:t>22. Проведение спасательных работ при землетрясениях, наводнениях, ураганах</w:t>
      </w:r>
    </w:p>
    <w:p w:rsidR="003E471D" w:rsidRPr="003E471D" w:rsidRDefault="003E471D" w:rsidP="003E471D">
      <w:pPr>
        <w:spacing w:before="150" w:after="150" w:line="240" w:lineRule="auto"/>
        <w:ind w:left="150" w:right="150"/>
        <w:rPr>
          <w:rFonts w:ascii="Verdana" w:eastAsia="Times New Roman" w:hAnsi="Verdana" w:cs="Tahoma"/>
          <w:color w:val="424242"/>
          <w:sz w:val="20"/>
          <w:szCs w:val="20"/>
          <w:lang w:eastAsia="ru-RU"/>
        </w:rPr>
      </w:pPr>
      <w:r w:rsidRPr="003E471D">
        <w:rPr>
          <w:rFonts w:ascii="Verdana" w:eastAsia="Times New Roman" w:hAnsi="Verdana" w:cs="Tahoma"/>
          <w:color w:val="424242"/>
          <w:sz w:val="20"/>
          <w:szCs w:val="20"/>
          <w:lang w:eastAsia="ru-RU"/>
        </w:rPr>
        <w:t>23. Классификация стихийных бедствий в зависимости от причин их возникновения</w:t>
      </w:r>
    </w:p>
    <w:p w:rsidR="003E471D" w:rsidRPr="003E471D" w:rsidRDefault="003E471D" w:rsidP="003E471D">
      <w:pPr>
        <w:spacing w:before="150" w:after="150" w:line="240" w:lineRule="auto"/>
        <w:ind w:left="150" w:right="150"/>
        <w:rPr>
          <w:rFonts w:ascii="Verdana" w:eastAsia="Times New Roman" w:hAnsi="Verdana" w:cs="Tahoma"/>
          <w:color w:val="424242"/>
          <w:sz w:val="20"/>
          <w:szCs w:val="20"/>
          <w:lang w:eastAsia="ru-RU"/>
        </w:rPr>
      </w:pPr>
      <w:r w:rsidRPr="003E471D">
        <w:rPr>
          <w:rFonts w:ascii="Verdana" w:eastAsia="Times New Roman" w:hAnsi="Verdana" w:cs="Tahoma"/>
          <w:color w:val="424242"/>
          <w:sz w:val="20"/>
          <w:szCs w:val="20"/>
          <w:lang w:eastAsia="ru-RU"/>
        </w:rPr>
        <w:t>24. Первая медицинская помощь при ранениях, ушибах, вывихах, переломах</w:t>
      </w:r>
    </w:p>
    <w:p w:rsidR="00FC73FD" w:rsidRDefault="003E471D" w:rsidP="003E471D">
      <w:r w:rsidRPr="003E471D">
        <w:rPr>
          <w:rFonts w:ascii="Times New Roman" w:eastAsia="Times New Roman" w:hAnsi="Times New Roman" w:cs="Tahoma"/>
          <w:sz w:val="24"/>
          <w:szCs w:val="24"/>
          <w:lang w:eastAsia="ru-RU"/>
        </w:rPr>
        <w:pict/>
      </w:r>
      <w:bookmarkStart w:id="0" w:name="_GoBack"/>
      <w:bookmarkEnd w:id="0"/>
    </w:p>
    <w:sectPr w:rsidR="00FC73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15D"/>
    <w:rsid w:val="0012715D"/>
    <w:rsid w:val="003E471D"/>
    <w:rsid w:val="006A5452"/>
    <w:rsid w:val="008404E4"/>
    <w:rsid w:val="00B5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2016-11-22T17:59:00Z</dcterms:created>
  <dcterms:modified xsi:type="dcterms:W3CDTF">2016-11-22T18:01:00Z</dcterms:modified>
</cp:coreProperties>
</file>